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0F575" w14:textId="77777777" w:rsidR="00862883" w:rsidRDefault="00862883">
      <w:pPr>
        <w:rPr>
          <w:rFonts w:ascii="Calibri" w:hAnsi="Calibri" w:cs="Calibri"/>
          <w:b/>
          <w:bCs/>
          <w:u w:val="single"/>
        </w:rPr>
      </w:pPr>
    </w:p>
    <w:p w14:paraId="7320AA4A" w14:textId="77777777" w:rsidR="00862883" w:rsidRDefault="00862883">
      <w:pPr>
        <w:rPr>
          <w:rFonts w:ascii="Calibri" w:hAnsi="Calibri" w:cs="Calibri"/>
          <w:b/>
          <w:bCs/>
          <w:u w:val="single"/>
        </w:rPr>
      </w:pPr>
    </w:p>
    <w:p w14:paraId="4731C108" w14:textId="77777777" w:rsidR="00862883" w:rsidRDefault="00862883">
      <w:pPr>
        <w:rPr>
          <w:rFonts w:ascii="Calibri" w:hAnsi="Calibri" w:cs="Calibri"/>
          <w:b/>
          <w:bCs/>
          <w:u w:val="single"/>
        </w:rPr>
      </w:pPr>
    </w:p>
    <w:p w14:paraId="0C237BFB" w14:textId="5E20AAC7" w:rsidR="00862883" w:rsidRPr="00862883" w:rsidRDefault="00862883">
      <w:pPr>
        <w:rPr>
          <w:rFonts w:ascii="Calibri" w:hAnsi="Calibri" w:cs="Calibri"/>
          <w:b/>
          <w:bCs/>
          <w:u w:val="single"/>
        </w:rPr>
      </w:pPr>
      <w:r w:rsidRPr="00862883">
        <w:rPr>
          <w:rFonts w:ascii="Calibri" w:hAnsi="Calibri" w:cs="Calibri"/>
          <w:b/>
          <w:bCs/>
          <w:u w:val="single"/>
        </w:rPr>
        <w:t>Materiał prasowy</w:t>
      </w:r>
    </w:p>
    <w:p w14:paraId="48580CC6" w14:textId="77777777" w:rsidR="00862883" w:rsidRPr="00862883" w:rsidRDefault="00862883">
      <w:pPr>
        <w:rPr>
          <w:rFonts w:ascii="Calibri" w:hAnsi="Calibri" w:cs="Calibri"/>
          <w:b/>
          <w:bCs/>
        </w:rPr>
      </w:pPr>
    </w:p>
    <w:p w14:paraId="74EED16E" w14:textId="77777777" w:rsidR="00862883" w:rsidRPr="00862883" w:rsidRDefault="00862883">
      <w:pPr>
        <w:rPr>
          <w:rFonts w:ascii="Calibri" w:hAnsi="Calibri" w:cs="Calibri"/>
          <w:b/>
          <w:bCs/>
        </w:rPr>
      </w:pPr>
    </w:p>
    <w:p w14:paraId="08E5706F" w14:textId="77777777" w:rsidR="00862883" w:rsidRPr="00862883" w:rsidRDefault="00862883">
      <w:pPr>
        <w:rPr>
          <w:rFonts w:ascii="Calibri" w:hAnsi="Calibri" w:cs="Calibri"/>
          <w:b/>
          <w:bCs/>
        </w:rPr>
      </w:pPr>
    </w:p>
    <w:p w14:paraId="4FC70A15" w14:textId="77777777" w:rsidR="00457904" w:rsidRPr="00862883" w:rsidRDefault="00457904">
      <w:pPr>
        <w:rPr>
          <w:rFonts w:ascii="Calibri" w:hAnsi="Calibri" w:cs="Calibri"/>
          <w:b/>
          <w:bCs/>
        </w:rPr>
      </w:pPr>
    </w:p>
    <w:p w14:paraId="08D8538A" w14:textId="77777777" w:rsidR="00457904" w:rsidRPr="00862883" w:rsidRDefault="00457904" w:rsidP="00457904">
      <w:pPr>
        <w:jc w:val="center"/>
        <w:rPr>
          <w:rFonts w:ascii="Calibri" w:hAnsi="Calibri" w:cs="Calibri"/>
          <w:b/>
          <w:bCs/>
        </w:rPr>
      </w:pPr>
    </w:p>
    <w:p w14:paraId="19D79C26" w14:textId="70F5DED4" w:rsidR="008E1C22" w:rsidRPr="00862883" w:rsidRDefault="00862883" w:rsidP="00457904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862883">
        <w:rPr>
          <w:rFonts w:ascii="Calibri" w:hAnsi="Calibri" w:cs="Calibri"/>
          <w:b/>
          <w:bCs/>
          <w:sz w:val="32"/>
          <w:szCs w:val="32"/>
        </w:rPr>
        <w:t xml:space="preserve">Długi Polaków – fakty i mity </w:t>
      </w:r>
    </w:p>
    <w:p w14:paraId="443174B6" w14:textId="77777777" w:rsidR="00862883" w:rsidRDefault="00862883" w:rsidP="00457904">
      <w:pPr>
        <w:jc w:val="center"/>
        <w:rPr>
          <w:rFonts w:ascii="Calibri" w:hAnsi="Calibri" w:cs="Calibri"/>
          <w:b/>
          <w:bCs/>
        </w:rPr>
      </w:pPr>
    </w:p>
    <w:p w14:paraId="0BC523F7" w14:textId="77777777" w:rsidR="00862883" w:rsidRDefault="00862883" w:rsidP="00862883">
      <w:pPr>
        <w:rPr>
          <w:rFonts w:ascii="Calibri" w:hAnsi="Calibri" w:cs="Calibri"/>
          <w:b/>
          <w:bCs/>
        </w:rPr>
      </w:pPr>
    </w:p>
    <w:p w14:paraId="089D0B3F" w14:textId="77777777" w:rsidR="00862883" w:rsidRPr="00862883" w:rsidRDefault="00862883" w:rsidP="0086288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Komentarz ekspercki: adw. Karolina Pilawska, </w:t>
      </w:r>
      <w:r w:rsidRPr="00862883">
        <w:rPr>
          <w:rFonts w:ascii="Calibri" w:hAnsi="Calibri" w:cs="Calibri"/>
          <w:b/>
          <w:bCs/>
        </w:rPr>
        <w:t xml:space="preserve">Pilawska Zorski Adwokaci </w:t>
      </w:r>
    </w:p>
    <w:p w14:paraId="38574FCC" w14:textId="77777777" w:rsidR="00862883" w:rsidRPr="00862883" w:rsidRDefault="00862883" w:rsidP="00457904">
      <w:pPr>
        <w:jc w:val="center"/>
        <w:rPr>
          <w:rFonts w:ascii="Calibri" w:hAnsi="Calibri" w:cs="Calibri"/>
          <w:b/>
          <w:bCs/>
        </w:rPr>
      </w:pPr>
    </w:p>
    <w:p w14:paraId="0CBD54D8" w14:textId="77777777" w:rsidR="008E1C22" w:rsidRPr="00862883" w:rsidRDefault="008E1C22">
      <w:pPr>
        <w:rPr>
          <w:rFonts w:ascii="Calibri" w:hAnsi="Calibri" w:cs="Calibri"/>
        </w:rPr>
      </w:pPr>
    </w:p>
    <w:p w14:paraId="4E7B26E5" w14:textId="2E3E3E5C" w:rsidR="00862883" w:rsidRDefault="00457904" w:rsidP="005C352C">
      <w:pPr>
        <w:jc w:val="both"/>
        <w:rPr>
          <w:rFonts w:ascii="Calibri" w:hAnsi="Calibri" w:cs="Calibri"/>
        </w:rPr>
      </w:pPr>
      <w:r w:rsidRPr="00862883">
        <w:rPr>
          <w:rFonts w:ascii="Calibri" w:hAnsi="Calibri" w:cs="Calibri"/>
          <w:b/>
        </w:rPr>
        <w:t xml:space="preserve">Polacy coraz częściej zaciągają zobowiązania, których niejednokrotnie nie są w stanie spłacać w terminie, a czasami w ogóle nie są w stanie ich uregulować. </w:t>
      </w:r>
      <w:r w:rsidR="00C76F75" w:rsidRPr="00862883">
        <w:rPr>
          <w:rFonts w:ascii="Calibri" w:hAnsi="Calibri" w:cs="Calibri"/>
          <w:b/>
        </w:rPr>
        <w:t xml:space="preserve">Jak wynika z danych zgromadzonych w Rejestrze Dłużników BIG </w:t>
      </w:r>
      <w:proofErr w:type="spellStart"/>
      <w:r w:rsidR="00C76F75" w:rsidRPr="00862883">
        <w:rPr>
          <w:rFonts w:ascii="Calibri" w:hAnsi="Calibri" w:cs="Calibri"/>
          <w:b/>
        </w:rPr>
        <w:t>InfoMonitor</w:t>
      </w:r>
      <w:proofErr w:type="spellEnd"/>
      <w:r w:rsidR="00C76F75" w:rsidRPr="00862883">
        <w:rPr>
          <w:rFonts w:ascii="Calibri" w:hAnsi="Calibri" w:cs="Calibri"/>
          <w:b/>
        </w:rPr>
        <w:t xml:space="preserve"> i Biurze Informacji Kredytowej </w:t>
      </w:r>
      <w:r w:rsidR="00642E02">
        <w:rPr>
          <w:rFonts w:ascii="Calibri" w:hAnsi="Calibri" w:cs="Calibri"/>
          <w:b/>
        </w:rPr>
        <w:br/>
      </w:r>
      <w:r w:rsidR="00C76F75" w:rsidRPr="00862883">
        <w:rPr>
          <w:rFonts w:ascii="Calibri" w:hAnsi="Calibri" w:cs="Calibri"/>
          <w:b/>
        </w:rPr>
        <w:t>w pierwszym kwartale 2024 roku przeterminowane zadłużenie konsumentów w Polsce wzrosło do rekordowej kwoty 85,7 mld PLN.</w:t>
      </w:r>
      <w:r w:rsidR="00C76F75" w:rsidRPr="00862883">
        <w:rPr>
          <w:rFonts w:ascii="Calibri" w:hAnsi="Calibri" w:cs="Calibri"/>
        </w:rPr>
        <w:t xml:space="preserve"> </w:t>
      </w:r>
    </w:p>
    <w:p w14:paraId="2501776D" w14:textId="77777777" w:rsidR="00862883" w:rsidRDefault="00862883" w:rsidP="005C352C">
      <w:pPr>
        <w:jc w:val="both"/>
        <w:rPr>
          <w:rFonts w:ascii="Calibri" w:hAnsi="Calibri" w:cs="Calibri"/>
        </w:rPr>
      </w:pPr>
    </w:p>
    <w:p w14:paraId="0631E2C2" w14:textId="3E392EEC" w:rsidR="005C352C" w:rsidRPr="00862883" w:rsidRDefault="00C76F75" w:rsidP="005C352C">
      <w:pPr>
        <w:jc w:val="both"/>
        <w:rPr>
          <w:rFonts w:ascii="Calibri" w:hAnsi="Calibri" w:cs="Calibri"/>
        </w:rPr>
      </w:pPr>
      <w:r w:rsidRPr="00862883">
        <w:rPr>
          <w:rFonts w:ascii="Calibri" w:hAnsi="Calibri" w:cs="Calibri"/>
        </w:rPr>
        <w:t xml:space="preserve">Z problemami w spłacie bieżących rachunków, alimentów oraz kredytów boryka się już 2.640.968 osób, czyli co dwunasta pełnoletnia osoba w naszym kraju. </w:t>
      </w:r>
      <w:r w:rsidR="005C352C" w:rsidRPr="00862883">
        <w:rPr>
          <w:rFonts w:ascii="Calibri" w:hAnsi="Calibri" w:cs="Calibri"/>
        </w:rPr>
        <w:t>Niezapłacone długi automatycznie wywołują skojarzenia z postępowaniem e</w:t>
      </w:r>
      <w:r w:rsidR="00AE1DDA">
        <w:rPr>
          <w:rFonts w:ascii="Calibri" w:hAnsi="Calibri" w:cs="Calibri"/>
        </w:rPr>
        <w:t>gzekucyjnym i komornikiem, który</w:t>
      </w:r>
      <w:r w:rsidR="005C352C" w:rsidRPr="00862883">
        <w:rPr>
          <w:rFonts w:ascii="Calibri" w:hAnsi="Calibri" w:cs="Calibri"/>
        </w:rPr>
        <w:t xml:space="preserve"> puka do naszych drzwi. Śmiało można stwierdzić, że komornicy są urzędnikami, których nie lubimy najbardziej. Warto jednak pamiętać, że w sytuacji, w której wierzyciel wszczął przeciwko nam postępowanie sądowe, należy odbierać korespondencję i podjąć obronę. Nie zawsze jest tak, że wierzyciel ma rację. Często dochodzone przez niego roszczenie jest bezpodstawne, nieudowodnione albo po prostu przedawnione. Jeżeli nasza sprawa trafi już do komornika, </w:t>
      </w:r>
      <w:r w:rsidRPr="00862883">
        <w:rPr>
          <w:rFonts w:ascii="Calibri" w:hAnsi="Calibri" w:cs="Calibri"/>
        </w:rPr>
        <w:t xml:space="preserve">to </w:t>
      </w:r>
      <w:r w:rsidR="005C352C" w:rsidRPr="00862883">
        <w:rPr>
          <w:rFonts w:ascii="Calibri" w:hAnsi="Calibri" w:cs="Calibri"/>
        </w:rPr>
        <w:t xml:space="preserve">co do zasady jest za późno na jego kwestionowanie. </w:t>
      </w:r>
      <w:r w:rsidRPr="00862883">
        <w:rPr>
          <w:rFonts w:ascii="Calibri" w:hAnsi="Calibri" w:cs="Calibri"/>
        </w:rPr>
        <w:t xml:space="preserve">Należy podkreślić, że mimo wzrostu świadomości prawnej wśród Polaków, nadal w obrocie funkcjonuje wiele mitów związanych z długami i ich dochodzeniem na drodze postępowania sądowego czy egzekucyjnego. Z okazji przypadającego na 13 czerwca Światowego Dnia Komornika warto się z nimi rozprawić. </w:t>
      </w:r>
    </w:p>
    <w:p w14:paraId="2CC6763A" w14:textId="77777777" w:rsidR="005C352C" w:rsidRPr="00862883" w:rsidRDefault="005C352C">
      <w:pPr>
        <w:rPr>
          <w:rFonts w:ascii="Calibri" w:hAnsi="Calibri" w:cs="Calibri"/>
          <w:b/>
          <w:bCs/>
        </w:rPr>
      </w:pPr>
    </w:p>
    <w:p w14:paraId="258FA0CF" w14:textId="0E5C5A82" w:rsidR="00457904" w:rsidRPr="00862883" w:rsidRDefault="00457904" w:rsidP="007023DD">
      <w:pPr>
        <w:jc w:val="both"/>
        <w:rPr>
          <w:rFonts w:ascii="Calibri" w:hAnsi="Calibri" w:cs="Calibri"/>
          <w:b/>
          <w:bCs/>
        </w:rPr>
      </w:pPr>
      <w:r w:rsidRPr="00862883">
        <w:rPr>
          <w:rFonts w:ascii="Calibri" w:hAnsi="Calibri" w:cs="Calibri"/>
          <w:b/>
          <w:bCs/>
        </w:rPr>
        <w:t xml:space="preserve">MIT 1 – Jeżeli przestanę spłacać raty kredytu hipotecznego, komornik od razu „zabierze” mój dom? </w:t>
      </w:r>
    </w:p>
    <w:p w14:paraId="6B79D9C9" w14:textId="77777777" w:rsidR="00457904" w:rsidRPr="00862883" w:rsidRDefault="00457904" w:rsidP="007023DD">
      <w:pPr>
        <w:jc w:val="both"/>
        <w:rPr>
          <w:rFonts w:ascii="Calibri" w:hAnsi="Calibri" w:cs="Calibri"/>
        </w:rPr>
      </w:pPr>
    </w:p>
    <w:p w14:paraId="55BE40CA" w14:textId="091341EA" w:rsidR="00457904" w:rsidRPr="00862883" w:rsidRDefault="00457904" w:rsidP="007023DD">
      <w:pPr>
        <w:jc w:val="both"/>
        <w:rPr>
          <w:rFonts w:ascii="Calibri" w:hAnsi="Calibri" w:cs="Calibri"/>
        </w:rPr>
      </w:pPr>
      <w:r w:rsidRPr="00862883">
        <w:rPr>
          <w:rFonts w:ascii="Calibri" w:hAnsi="Calibri" w:cs="Calibri"/>
        </w:rPr>
        <w:t>Jest to chyba najczęściej powtarzany prze</w:t>
      </w:r>
      <w:r w:rsidR="00AE1DDA">
        <w:rPr>
          <w:rFonts w:ascii="Calibri" w:hAnsi="Calibri" w:cs="Calibri"/>
        </w:rPr>
        <w:t>z Polaków mit. Ale nie zawsze t</w:t>
      </w:r>
      <w:r w:rsidRPr="00862883">
        <w:rPr>
          <w:rFonts w:ascii="Calibri" w:hAnsi="Calibri" w:cs="Calibri"/>
        </w:rPr>
        <w:t xml:space="preserve">ak było. Jeszcze kilka lat temu w obrocie prężnie funkcjonowała instytucja </w:t>
      </w:r>
      <w:r w:rsidR="005C352C" w:rsidRPr="00862883">
        <w:rPr>
          <w:rFonts w:ascii="Calibri" w:hAnsi="Calibri" w:cs="Calibri"/>
        </w:rPr>
        <w:t xml:space="preserve">Bankowego Tytułu Egzekucyjnego, dzięki której banki miały bardzo krótką ścieżkę do wszczęcia </w:t>
      </w:r>
      <w:r w:rsidR="007023DD" w:rsidRPr="00862883">
        <w:rPr>
          <w:rFonts w:ascii="Calibri" w:hAnsi="Calibri" w:cs="Calibri"/>
        </w:rPr>
        <w:t xml:space="preserve">postępowania egzekucyjnego. </w:t>
      </w:r>
      <w:r w:rsidR="00743D26" w:rsidRPr="00862883">
        <w:rPr>
          <w:rFonts w:ascii="Calibri" w:hAnsi="Calibri" w:cs="Calibri"/>
        </w:rPr>
        <w:t xml:space="preserve">W przypadku zaprzestania </w:t>
      </w:r>
      <w:r w:rsidR="002F0C3F" w:rsidRPr="00862883">
        <w:rPr>
          <w:rFonts w:ascii="Calibri" w:hAnsi="Calibri" w:cs="Calibri"/>
        </w:rPr>
        <w:t>spłacania</w:t>
      </w:r>
      <w:r w:rsidR="00743D26" w:rsidRPr="00862883">
        <w:rPr>
          <w:rFonts w:ascii="Calibri" w:hAnsi="Calibri" w:cs="Calibri"/>
        </w:rPr>
        <w:t xml:space="preserve"> rat kredytu hipotecznego </w:t>
      </w:r>
      <w:r w:rsidR="00CF2DA7" w:rsidRPr="00862883">
        <w:rPr>
          <w:rFonts w:ascii="Calibri" w:hAnsi="Calibri" w:cs="Calibri"/>
        </w:rPr>
        <w:t>bank wypowiadał umowę kredytu hipotecznego i składał do sądu wiosek o nadanie klauzuli wykonalności podpisanemu przy zawieraniu umowy kredytowej bankowemu</w:t>
      </w:r>
      <w:r w:rsidR="00BE191A" w:rsidRPr="00862883">
        <w:rPr>
          <w:rFonts w:ascii="Calibri" w:hAnsi="Calibri" w:cs="Calibri"/>
        </w:rPr>
        <w:t>. Odbywało się to w ciągu kilku tygodni</w:t>
      </w:r>
      <w:r w:rsidR="003A7465" w:rsidRPr="00862883">
        <w:rPr>
          <w:rFonts w:ascii="Calibri" w:hAnsi="Calibri" w:cs="Calibri"/>
        </w:rPr>
        <w:t xml:space="preserve">, a następnie bank kierował </w:t>
      </w:r>
      <w:r w:rsidR="00784CAB" w:rsidRPr="00862883">
        <w:rPr>
          <w:rFonts w:ascii="Calibri" w:hAnsi="Calibri" w:cs="Calibri"/>
        </w:rPr>
        <w:t>wniosek</w:t>
      </w:r>
      <w:r w:rsidR="003A7465" w:rsidRPr="00862883">
        <w:rPr>
          <w:rFonts w:ascii="Calibri" w:hAnsi="Calibri" w:cs="Calibri"/>
        </w:rPr>
        <w:t xml:space="preserve"> do komornika, który wszczynał postępowanie egz</w:t>
      </w:r>
      <w:r w:rsidR="00784CAB" w:rsidRPr="00862883">
        <w:rPr>
          <w:rFonts w:ascii="Calibri" w:hAnsi="Calibri" w:cs="Calibri"/>
        </w:rPr>
        <w:t xml:space="preserve">ekucyjne. W efekcie kredytobiorca o prowadzonej egzekucji dowiadywał się w momencie zajęcia rachunku bankowego czy odebrania pisma od komornika. </w:t>
      </w:r>
    </w:p>
    <w:p w14:paraId="1530A956" w14:textId="77777777" w:rsidR="00457904" w:rsidRPr="00862883" w:rsidRDefault="00457904">
      <w:pPr>
        <w:rPr>
          <w:rFonts w:ascii="Calibri" w:hAnsi="Calibri" w:cs="Calibri"/>
        </w:rPr>
      </w:pPr>
    </w:p>
    <w:p w14:paraId="73BC1FFF" w14:textId="3DEC6B2E" w:rsidR="000E0904" w:rsidRPr="00862883" w:rsidRDefault="00784CAB">
      <w:pPr>
        <w:rPr>
          <w:rFonts w:ascii="Calibri" w:hAnsi="Calibri" w:cs="Calibri"/>
          <w:b/>
          <w:bCs/>
        </w:rPr>
      </w:pPr>
      <w:r w:rsidRPr="00862883">
        <w:rPr>
          <w:rFonts w:ascii="Calibri" w:hAnsi="Calibri" w:cs="Calibri"/>
          <w:b/>
          <w:bCs/>
        </w:rPr>
        <w:t xml:space="preserve">FAKT </w:t>
      </w:r>
      <w:r w:rsidR="007023DD" w:rsidRPr="00862883">
        <w:rPr>
          <w:rFonts w:ascii="Calibri" w:hAnsi="Calibri" w:cs="Calibri"/>
          <w:b/>
          <w:bCs/>
        </w:rPr>
        <w:t xml:space="preserve">jest taki, że: </w:t>
      </w:r>
    </w:p>
    <w:p w14:paraId="017C5407" w14:textId="77777777" w:rsidR="007023DD" w:rsidRPr="00862883" w:rsidRDefault="007023DD">
      <w:pPr>
        <w:rPr>
          <w:rFonts w:ascii="Calibri" w:hAnsi="Calibri" w:cs="Calibri"/>
        </w:rPr>
      </w:pPr>
    </w:p>
    <w:p w14:paraId="348B0203" w14:textId="562E91D5" w:rsidR="00784CAB" w:rsidRPr="00862883" w:rsidRDefault="00784CAB" w:rsidP="00784CAB">
      <w:pPr>
        <w:jc w:val="both"/>
        <w:rPr>
          <w:rFonts w:ascii="Calibri" w:hAnsi="Calibri" w:cs="Calibri"/>
        </w:rPr>
      </w:pPr>
      <w:r w:rsidRPr="00862883">
        <w:rPr>
          <w:rFonts w:ascii="Calibri" w:hAnsi="Calibri" w:cs="Calibri"/>
        </w:rPr>
        <w:t>Bankowy Tytuł Egzekucyjny nie istnieje już od lat, ale Polacy ma</w:t>
      </w:r>
      <w:r w:rsidR="00AE1DDA">
        <w:rPr>
          <w:rFonts w:ascii="Calibri" w:hAnsi="Calibri" w:cs="Calibri"/>
        </w:rPr>
        <w:t>ją zakodowane w pamięci sytuacje</w:t>
      </w:r>
      <w:r w:rsidRPr="00862883">
        <w:rPr>
          <w:rFonts w:ascii="Calibri" w:hAnsi="Calibri" w:cs="Calibri"/>
        </w:rPr>
        <w:t xml:space="preserve">, w których ktoś tracił dom z dnia na dzień. Wyrokiem Trybunału Konstytucyjnego z 14 kwietnia 2015 roku, sygn. akt P 45/12, instytucja Bankowego Tytułu Egzekucyjnego została uznana za niezgodną z art. 32 ust. 1 Konstytucji. Przepisy straciły moc z dniem 1 sierpnia 2016 roku i z tym dniem banki utraciły prawo do dochodzenia roszczeń od klientów na tej drodze. </w:t>
      </w:r>
    </w:p>
    <w:p w14:paraId="50DCFC38" w14:textId="39096379" w:rsidR="00784CAB" w:rsidRPr="00862883" w:rsidRDefault="00784CAB" w:rsidP="00784CAB">
      <w:pPr>
        <w:jc w:val="both"/>
        <w:rPr>
          <w:rFonts w:ascii="Calibri" w:hAnsi="Calibri" w:cs="Calibri"/>
        </w:rPr>
      </w:pPr>
      <w:r w:rsidRPr="00862883">
        <w:rPr>
          <w:rFonts w:ascii="Calibri" w:hAnsi="Calibri" w:cs="Calibri"/>
        </w:rPr>
        <w:t xml:space="preserve">Aktualnie, aby bank mógł skierować wniosek o wszczęcie postępowania egzekucyjnego </w:t>
      </w:r>
      <w:r w:rsidR="00E75F77" w:rsidRPr="00862883">
        <w:rPr>
          <w:rFonts w:ascii="Calibri" w:hAnsi="Calibri" w:cs="Calibri"/>
        </w:rPr>
        <w:t>przeciwko kredytobiorcy, najpierw mu</w:t>
      </w:r>
      <w:r w:rsidR="00AE1DDA">
        <w:rPr>
          <w:rFonts w:ascii="Calibri" w:hAnsi="Calibri" w:cs="Calibri"/>
        </w:rPr>
        <w:t>si wygrać z nim proces sądowy, c</w:t>
      </w:r>
      <w:r w:rsidR="00E75F77" w:rsidRPr="00862883">
        <w:rPr>
          <w:rFonts w:ascii="Calibri" w:hAnsi="Calibri" w:cs="Calibri"/>
        </w:rPr>
        <w:t xml:space="preserve">zyli musi złożyć pozew, który jest doręczany do kredytobiorcy przez sąd. Kredytobiorca ma prawo wnieść odpowiedź na pozew, czyli ustosunkować się do roszczeń banku i przedstawić swoje zarzuty </w:t>
      </w:r>
      <w:r w:rsidR="00AE1DDA">
        <w:rPr>
          <w:rFonts w:ascii="Calibri" w:hAnsi="Calibri" w:cs="Calibri"/>
        </w:rPr>
        <w:t>co do umowy kredytu, czyli może</w:t>
      </w:r>
      <w:r w:rsidR="00E75F77" w:rsidRPr="00862883">
        <w:rPr>
          <w:rFonts w:ascii="Calibri" w:hAnsi="Calibri" w:cs="Calibri"/>
        </w:rPr>
        <w:t xml:space="preserve"> zakwestionować jej ważność, zawarcie w niej niedozwolonych postanowień umownych czy wre</w:t>
      </w:r>
      <w:r w:rsidR="00FF7E57" w:rsidRPr="00862883">
        <w:rPr>
          <w:rFonts w:ascii="Calibri" w:hAnsi="Calibri" w:cs="Calibri"/>
        </w:rPr>
        <w:t>sz</w:t>
      </w:r>
      <w:r w:rsidR="00E75F77" w:rsidRPr="00862883">
        <w:rPr>
          <w:rFonts w:ascii="Calibri" w:hAnsi="Calibri" w:cs="Calibri"/>
        </w:rPr>
        <w:t>cie podważy</w:t>
      </w:r>
      <w:r w:rsidR="00AE1DDA">
        <w:rPr>
          <w:rFonts w:ascii="Calibri" w:hAnsi="Calibri" w:cs="Calibri"/>
        </w:rPr>
        <w:t xml:space="preserve">ć samo wypowiedzenie. Następnie </w:t>
      </w:r>
      <w:r w:rsidR="00E75F77" w:rsidRPr="00862883">
        <w:rPr>
          <w:rFonts w:ascii="Calibri" w:hAnsi="Calibri" w:cs="Calibri"/>
        </w:rPr>
        <w:t>odbywają się rozprawy, a sąd wysłuchuje argumentów obu stron. Często jest też tak, że bank nie potrafi udowodnić, że dochodzone roszczenie jest uzasadnione zarówno co do zasady, jak i co do wysokości. Tak</w:t>
      </w:r>
      <w:r w:rsidR="00FF7E57" w:rsidRPr="00862883">
        <w:rPr>
          <w:rFonts w:ascii="Calibri" w:hAnsi="Calibri" w:cs="Calibri"/>
        </w:rPr>
        <w:t>a</w:t>
      </w:r>
      <w:r w:rsidR="00E75F77" w:rsidRPr="00862883">
        <w:rPr>
          <w:rFonts w:ascii="Calibri" w:hAnsi="Calibri" w:cs="Calibri"/>
        </w:rPr>
        <w:t xml:space="preserve"> sytuacja bardzo często miała miejsce w przypadku tzw. kredytów frankowych, gdzie bank nie był w stanie wykazać na jakiej podstawie kwota dochodzona od </w:t>
      </w:r>
      <w:proofErr w:type="spellStart"/>
      <w:r w:rsidR="00E75F77" w:rsidRPr="00862883">
        <w:rPr>
          <w:rFonts w:ascii="Calibri" w:hAnsi="Calibri" w:cs="Calibri"/>
        </w:rPr>
        <w:t>Frankowicza</w:t>
      </w:r>
      <w:proofErr w:type="spellEnd"/>
      <w:r w:rsidR="00E75F77" w:rsidRPr="00862883">
        <w:rPr>
          <w:rFonts w:ascii="Calibri" w:hAnsi="Calibri" w:cs="Calibri"/>
        </w:rPr>
        <w:t xml:space="preserve"> jest tak nieproporcjonalnie wysoka w porównaniu z udostępnioną kwotą kredytu. Dopiero korzystny i prawomocny wyrok sądu upoważnia bank do wszczęcia postępowania egzekucyjnego</w:t>
      </w:r>
      <w:r w:rsidR="00FF7E57" w:rsidRPr="00862883">
        <w:rPr>
          <w:rFonts w:ascii="Calibri" w:hAnsi="Calibri" w:cs="Calibri"/>
        </w:rPr>
        <w:t>, a to zazwyczaj trwa latami</w:t>
      </w:r>
      <w:r w:rsidR="00E75F77" w:rsidRPr="00862883">
        <w:rPr>
          <w:rFonts w:ascii="Calibri" w:hAnsi="Calibri" w:cs="Calibri"/>
        </w:rPr>
        <w:t xml:space="preserve">. </w:t>
      </w:r>
    </w:p>
    <w:p w14:paraId="5C88BEFD" w14:textId="77777777" w:rsidR="000E0904" w:rsidRPr="00862883" w:rsidRDefault="000E0904">
      <w:pPr>
        <w:rPr>
          <w:rFonts w:ascii="Calibri" w:hAnsi="Calibri" w:cs="Calibri"/>
        </w:rPr>
      </w:pPr>
    </w:p>
    <w:p w14:paraId="652F4566" w14:textId="77777777" w:rsidR="000E0904" w:rsidRPr="00862883" w:rsidRDefault="000E0904">
      <w:pPr>
        <w:rPr>
          <w:rFonts w:ascii="Calibri" w:hAnsi="Calibri" w:cs="Calibri"/>
        </w:rPr>
      </w:pPr>
    </w:p>
    <w:p w14:paraId="0C4B9625" w14:textId="5D461A38" w:rsidR="0038781B" w:rsidRPr="00862883" w:rsidRDefault="0038781B" w:rsidP="00361556">
      <w:pPr>
        <w:jc w:val="both"/>
        <w:rPr>
          <w:rFonts w:ascii="Calibri" w:hAnsi="Calibri" w:cs="Calibri"/>
          <w:b/>
          <w:bCs/>
        </w:rPr>
      </w:pPr>
      <w:r w:rsidRPr="00862883">
        <w:rPr>
          <w:rFonts w:ascii="Calibri" w:hAnsi="Calibri" w:cs="Calibri"/>
          <w:b/>
          <w:bCs/>
        </w:rPr>
        <w:t xml:space="preserve">MIT 2 – Bank jest właścicielem mojego domu. </w:t>
      </w:r>
    </w:p>
    <w:p w14:paraId="664FD7E9" w14:textId="77777777" w:rsidR="00457904" w:rsidRPr="00862883" w:rsidRDefault="00457904" w:rsidP="00361556">
      <w:pPr>
        <w:jc w:val="both"/>
        <w:rPr>
          <w:rFonts w:ascii="Calibri" w:hAnsi="Calibri" w:cs="Calibri"/>
        </w:rPr>
      </w:pPr>
    </w:p>
    <w:p w14:paraId="4C80C217" w14:textId="542E8866" w:rsidR="00E75F77" w:rsidRPr="00862883" w:rsidRDefault="00E75F77" w:rsidP="00361556">
      <w:pPr>
        <w:jc w:val="both"/>
        <w:rPr>
          <w:rFonts w:ascii="Calibri" w:hAnsi="Calibri" w:cs="Calibri"/>
        </w:rPr>
      </w:pPr>
      <w:r w:rsidRPr="00862883">
        <w:rPr>
          <w:rFonts w:ascii="Calibri" w:hAnsi="Calibri" w:cs="Calibri"/>
        </w:rPr>
        <w:t xml:space="preserve">Osoby, które zaciągnęły kredyt na zakup własnego mieszkania czy domu bardzo często żyją w przekonaniu, że to bank jest właścicielem ich nieruchomości. </w:t>
      </w:r>
      <w:r w:rsidR="00361556" w:rsidRPr="00862883">
        <w:rPr>
          <w:rFonts w:ascii="Calibri" w:hAnsi="Calibri" w:cs="Calibri"/>
        </w:rPr>
        <w:t xml:space="preserve">Wydaje nam się, że skoro kupiliśmy nieruchomość za pieniądze banku, to dopóki nie spłacimy kredytu, bank będzie właścicielem naszego domu. </w:t>
      </w:r>
    </w:p>
    <w:p w14:paraId="39B6FC8B" w14:textId="77777777" w:rsidR="00E75F77" w:rsidRPr="00862883" w:rsidRDefault="00E75F77">
      <w:pPr>
        <w:rPr>
          <w:rFonts w:ascii="Calibri" w:hAnsi="Calibri" w:cs="Calibri"/>
        </w:rPr>
      </w:pPr>
    </w:p>
    <w:p w14:paraId="5205C2CA" w14:textId="77777777" w:rsidR="00E75F77" w:rsidRPr="00862883" w:rsidRDefault="00E75F77" w:rsidP="00E75F77">
      <w:pPr>
        <w:rPr>
          <w:rFonts w:ascii="Calibri" w:hAnsi="Calibri" w:cs="Calibri"/>
          <w:b/>
          <w:bCs/>
        </w:rPr>
      </w:pPr>
      <w:r w:rsidRPr="00862883">
        <w:rPr>
          <w:rFonts w:ascii="Calibri" w:hAnsi="Calibri" w:cs="Calibri"/>
          <w:b/>
          <w:bCs/>
        </w:rPr>
        <w:t xml:space="preserve">FAKT jest taki, że: </w:t>
      </w:r>
    </w:p>
    <w:p w14:paraId="19F11D82" w14:textId="77777777" w:rsidR="00E75F77" w:rsidRPr="00862883" w:rsidRDefault="00E75F77">
      <w:pPr>
        <w:rPr>
          <w:rFonts w:ascii="Calibri" w:hAnsi="Calibri" w:cs="Calibri"/>
        </w:rPr>
      </w:pPr>
    </w:p>
    <w:p w14:paraId="01B57893" w14:textId="46E2087C" w:rsidR="00E75F77" w:rsidRPr="00862883" w:rsidRDefault="00E75F77" w:rsidP="00361556">
      <w:pPr>
        <w:jc w:val="both"/>
        <w:rPr>
          <w:rFonts w:ascii="Calibri" w:hAnsi="Calibri" w:cs="Calibri"/>
        </w:rPr>
      </w:pPr>
      <w:r w:rsidRPr="00862883">
        <w:rPr>
          <w:rFonts w:ascii="Calibri" w:hAnsi="Calibri" w:cs="Calibri"/>
        </w:rPr>
        <w:t>Bank, mimo udzielenia kredytowania, nie jest właścicielem kredytowanej nieruchomości. Właścicielami są co do zasady kredytobiorcy</w:t>
      </w:r>
      <w:r w:rsidR="00361556" w:rsidRPr="00862883">
        <w:rPr>
          <w:rFonts w:ascii="Calibri" w:hAnsi="Calibri" w:cs="Calibri"/>
        </w:rPr>
        <w:t xml:space="preserve">, a bank ma zabezpieczenie hipoteczne w księdze wieczystej kredytowanej nieruchomości, w dziale IV. Hipoteka w tym przypadku pełni funkcję zabezpieczenia banku w sytuacji, w której wygra proces sądowy z kredytobiorcą. W skrócie – kredytobiorca przestaje płacić raty kredytu, bank wypowiada mu umowę i kieruje pozew do sądu. Sąd wydaje prawomocny wyrok, w którym uznaje roszczenie banku. </w:t>
      </w:r>
      <w:r w:rsidR="004A3D27" w:rsidRPr="00862883">
        <w:rPr>
          <w:rFonts w:ascii="Calibri" w:hAnsi="Calibri" w:cs="Calibri"/>
        </w:rPr>
        <w:t>Dopiero w</w:t>
      </w:r>
      <w:r w:rsidR="00361556" w:rsidRPr="00862883">
        <w:rPr>
          <w:rFonts w:ascii="Calibri" w:hAnsi="Calibri" w:cs="Calibri"/>
        </w:rPr>
        <w:t xml:space="preserve">ówczas bank może </w:t>
      </w:r>
      <w:r w:rsidR="004A3D27" w:rsidRPr="00862883">
        <w:rPr>
          <w:rFonts w:ascii="Calibri" w:hAnsi="Calibri" w:cs="Calibri"/>
        </w:rPr>
        <w:t xml:space="preserve">zaspokoić się z nieruchomości. </w:t>
      </w:r>
    </w:p>
    <w:p w14:paraId="0C66D74E" w14:textId="77777777" w:rsidR="00743D26" w:rsidRPr="00862883" w:rsidRDefault="00743D26">
      <w:pPr>
        <w:rPr>
          <w:rFonts w:ascii="Calibri" w:hAnsi="Calibri" w:cs="Calibri"/>
        </w:rPr>
      </w:pPr>
    </w:p>
    <w:p w14:paraId="059485B9" w14:textId="77777777" w:rsidR="007023DD" w:rsidRPr="00862883" w:rsidRDefault="007023DD">
      <w:pPr>
        <w:rPr>
          <w:rFonts w:ascii="Calibri" w:hAnsi="Calibri" w:cs="Calibri"/>
        </w:rPr>
      </w:pPr>
    </w:p>
    <w:p w14:paraId="7C726A49" w14:textId="7A249EDC" w:rsidR="0038781B" w:rsidRPr="00862883" w:rsidRDefault="0038781B">
      <w:pPr>
        <w:rPr>
          <w:rFonts w:ascii="Calibri" w:hAnsi="Calibri" w:cs="Calibri"/>
          <w:b/>
          <w:bCs/>
        </w:rPr>
      </w:pPr>
      <w:r w:rsidRPr="00862883">
        <w:rPr>
          <w:rFonts w:ascii="Calibri" w:hAnsi="Calibri" w:cs="Calibri"/>
          <w:b/>
          <w:bCs/>
        </w:rPr>
        <w:t>MIT 3 – Jak nie odbiorę poczty</w:t>
      </w:r>
      <w:r w:rsidR="007023DD" w:rsidRPr="00862883">
        <w:rPr>
          <w:rFonts w:ascii="Calibri" w:hAnsi="Calibri" w:cs="Calibri"/>
          <w:b/>
          <w:bCs/>
        </w:rPr>
        <w:t xml:space="preserve"> </w:t>
      </w:r>
      <w:r w:rsidR="004A3D27" w:rsidRPr="00862883">
        <w:rPr>
          <w:rFonts w:ascii="Calibri" w:hAnsi="Calibri" w:cs="Calibri"/>
          <w:b/>
          <w:bCs/>
        </w:rPr>
        <w:t xml:space="preserve">z sądu, to sprawa sądowa nie odbędzie się. </w:t>
      </w:r>
    </w:p>
    <w:p w14:paraId="636D51AA" w14:textId="77777777" w:rsidR="0038781B" w:rsidRPr="00862883" w:rsidRDefault="0038781B">
      <w:pPr>
        <w:rPr>
          <w:rFonts w:ascii="Calibri" w:hAnsi="Calibri" w:cs="Calibri"/>
        </w:rPr>
      </w:pPr>
    </w:p>
    <w:p w14:paraId="29D7DD4C" w14:textId="2D287442" w:rsidR="00F65076" w:rsidRPr="00862883" w:rsidRDefault="004A3D27" w:rsidP="00F65076">
      <w:pPr>
        <w:jc w:val="both"/>
        <w:rPr>
          <w:rFonts w:ascii="Calibri" w:hAnsi="Calibri" w:cs="Calibri"/>
        </w:rPr>
      </w:pPr>
      <w:r w:rsidRPr="00862883">
        <w:rPr>
          <w:rFonts w:ascii="Calibri" w:hAnsi="Calibri" w:cs="Calibri"/>
        </w:rPr>
        <w:t>Polacy często żyją w przekonaniu, że jeżeli nie będą odbierali korespondencji z sądu, to ich problem zniknie, czyli zamiatają sprawę pod przysłowiowy dywan. W efekcie niejednokrotnie nie wiedzą, gdzie są zadłużeni, na jakie kwoty i wpadają w spiralę zadłużenia. Jeszcze kilka lat temu</w:t>
      </w:r>
      <w:r w:rsidR="00F65076" w:rsidRPr="00862883">
        <w:rPr>
          <w:rFonts w:ascii="Calibri" w:hAnsi="Calibri" w:cs="Calibri"/>
        </w:rPr>
        <w:t xml:space="preserve"> rzeczywiście było tak, że jeżeli nie odbieraliśmy korespondencji z sądu, to sąd uznawał </w:t>
      </w:r>
      <w:r w:rsidR="00F65076" w:rsidRPr="00862883">
        <w:rPr>
          <w:rFonts w:ascii="Calibri" w:hAnsi="Calibri" w:cs="Calibri"/>
        </w:rPr>
        <w:lastRenderedPageBreak/>
        <w:t xml:space="preserve">ja za doręczoną i sprawa toczyła się bez naszego udziału. Często zdarzało się jednak, że bank w procesie podawał nasz nieaktualny adres i wówczas nawet nie mieliśmy możliwości odebrania korespondencji, bo nie wiedzieliśmy, że została do nas wysłana. Konsekwencją naszej celowej lub mimowolnej bierności były właśnie sytuacje, w których postępowanie sądowe kończyło się z korzystnym wyrokiem, a o tym dowiadywaliśmy się w momencie zajęcia komorniczego. </w:t>
      </w:r>
    </w:p>
    <w:p w14:paraId="2D7F1715" w14:textId="77777777" w:rsidR="004A3D27" w:rsidRPr="00862883" w:rsidRDefault="004A3D27">
      <w:pPr>
        <w:rPr>
          <w:rFonts w:ascii="Calibri" w:hAnsi="Calibri" w:cs="Calibri"/>
        </w:rPr>
      </w:pPr>
    </w:p>
    <w:p w14:paraId="055021FC" w14:textId="493899F4" w:rsidR="004A3D27" w:rsidRPr="00862883" w:rsidRDefault="004A3D27">
      <w:pPr>
        <w:rPr>
          <w:rFonts w:ascii="Calibri" w:hAnsi="Calibri" w:cs="Calibri"/>
          <w:b/>
          <w:bCs/>
        </w:rPr>
      </w:pPr>
      <w:r w:rsidRPr="00862883">
        <w:rPr>
          <w:rFonts w:ascii="Calibri" w:hAnsi="Calibri" w:cs="Calibri"/>
          <w:b/>
          <w:bCs/>
        </w:rPr>
        <w:t xml:space="preserve">FAKT jest taki, że: </w:t>
      </w:r>
    </w:p>
    <w:p w14:paraId="3FC67CC3" w14:textId="77777777" w:rsidR="004A3D27" w:rsidRPr="00862883" w:rsidRDefault="004A3D27">
      <w:pPr>
        <w:rPr>
          <w:rFonts w:ascii="Calibri" w:hAnsi="Calibri" w:cs="Calibri"/>
        </w:rPr>
      </w:pPr>
    </w:p>
    <w:p w14:paraId="488ECD81" w14:textId="52D06B63" w:rsidR="00F65076" w:rsidRPr="00862883" w:rsidRDefault="00F65076" w:rsidP="00F65076">
      <w:pPr>
        <w:jc w:val="both"/>
        <w:rPr>
          <w:rFonts w:ascii="Calibri" w:hAnsi="Calibri" w:cs="Calibri"/>
        </w:rPr>
      </w:pPr>
      <w:r w:rsidRPr="00862883">
        <w:rPr>
          <w:rFonts w:ascii="Calibri" w:hAnsi="Calibri" w:cs="Calibri"/>
        </w:rPr>
        <w:t xml:space="preserve">Nowelizacja Kodeksu postępowania cywilnego z listopada 2019 roku wprowadziła nowe zasady doręczania korespondencji sądowej. Zgodnie z nimi, jeżeli nie odbieramy przesyłek z sądu, w szczególności pozwu, który wywołuje przecież potrzebę podjęcia przez nas obrony, sąd zobowiązuje powoda, czyli w tym przypadku bank, do doręczenia nam tego pisma za pośrednictwem komornika. Wówczas komornik ma prawo przyjść do nas i doręczyć nam odpis pozwu. Dzięki temu mamy wiedzę, że wobec nas zostało wszczęte postępowanie sadowe i możemy podjąć obronę. </w:t>
      </w:r>
    </w:p>
    <w:p w14:paraId="4AE9C77A" w14:textId="77777777" w:rsidR="00F65076" w:rsidRPr="00862883" w:rsidRDefault="00F65076" w:rsidP="00F65076">
      <w:pPr>
        <w:rPr>
          <w:rFonts w:ascii="Calibri" w:hAnsi="Calibri" w:cs="Calibri"/>
        </w:rPr>
      </w:pPr>
    </w:p>
    <w:p w14:paraId="1B856B35" w14:textId="77777777" w:rsidR="004A3D27" w:rsidRPr="00862883" w:rsidRDefault="004A3D27">
      <w:pPr>
        <w:rPr>
          <w:rFonts w:ascii="Calibri" w:hAnsi="Calibri" w:cs="Calibri"/>
          <w:b/>
          <w:bCs/>
        </w:rPr>
      </w:pPr>
    </w:p>
    <w:p w14:paraId="60679832" w14:textId="7D94870B" w:rsidR="0038781B" w:rsidRPr="00862883" w:rsidRDefault="0086288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MIT 4 – </w:t>
      </w:r>
      <w:proofErr w:type="spellStart"/>
      <w:r>
        <w:rPr>
          <w:rFonts w:ascii="Calibri" w:hAnsi="Calibri" w:cs="Calibri"/>
          <w:b/>
          <w:bCs/>
        </w:rPr>
        <w:t>Windykator</w:t>
      </w:r>
      <w:proofErr w:type="spellEnd"/>
      <w:r>
        <w:rPr>
          <w:rFonts w:ascii="Calibri" w:hAnsi="Calibri" w:cs="Calibri"/>
          <w:b/>
          <w:bCs/>
        </w:rPr>
        <w:t xml:space="preserve"> </w:t>
      </w:r>
      <w:r w:rsidR="007023DD" w:rsidRPr="00862883">
        <w:rPr>
          <w:rFonts w:ascii="Calibri" w:hAnsi="Calibri" w:cs="Calibri"/>
          <w:b/>
          <w:bCs/>
        </w:rPr>
        <w:t xml:space="preserve">z banku może zająć moje konto. </w:t>
      </w:r>
      <w:r w:rsidR="0038781B" w:rsidRPr="00862883">
        <w:rPr>
          <w:rFonts w:ascii="Calibri" w:hAnsi="Calibri" w:cs="Calibri"/>
          <w:b/>
          <w:bCs/>
        </w:rPr>
        <w:t xml:space="preserve"> </w:t>
      </w:r>
    </w:p>
    <w:p w14:paraId="36822C93" w14:textId="77777777" w:rsidR="007023DD" w:rsidRPr="00862883" w:rsidRDefault="007023DD" w:rsidP="007023DD">
      <w:pPr>
        <w:rPr>
          <w:rFonts w:ascii="Calibri" w:hAnsi="Calibri" w:cs="Calibri"/>
        </w:rPr>
      </w:pPr>
    </w:p>
    <w:p w14:paraId="479633AE" w14:textId="2ECF949B" w:rsidR="00F65076" w:rsidRPr="00862883" w:rsidRDefault="00F65076" w:rsidP="00503CF7">
      <w:pPr>
        <w:jc w:val="both"/>
        <w:rPr>
          <w:rFonts w:ascii="Calibri" w:hAnsi="Calibri" w:cs="Calibri"/>
        </w:rPr>
      </w:pPr>
      <w:r w:rsidRPr="00862883">
        <w:rPr>
          <w:rFonts w:ascii="Calibri" w:hAnsi="Calibri" w:cs="Calibri"/>
        </w:rPr>
        <w:t xml:space="preserve">Zaprzestanie spłacania rat kredytowych </w:t>
      </w:r>
      <w:r w:rsidR="00AE1DDA">
        <w:rPr>
          <w:rFonts w:ascii="Calibri" w:hAnsi="Calibri" w:cs="Calibri"/>
        </w:rPr>
        <w:t xml:space="preserve">często powoduje, że </w:t>
      </w:r>
      <w:r w:rsidR="00503CF7" w:rsidRPr="00862883">
        <w:rPr>
          <w:rFonts w:ascii="Calibri" w:hAnsi="Calibri" w:cs="Calibri"/>
        </w:rPr>
        <w:t xml:space="preserve">Polacy boją się, że bank może zająć im środki na rachunku bankowym, na który przykładowo wpływa ich wynagrodzenie za pracę. </w:t>
      </w:r>
      <w:r w:rsidR="006F6906" w:rsidRPr="00862883">
        <w:rPr>
          <w:rFonts w:ascii="Calibri" w:hAnsi="Calibri" w:cs="Calibri"/>
        </w:rPr>
        <w:t xml:space="preserve">Także windykacja prowadzona przez </w:t>
      </w:r>
      <w:r w:rsidR="00AE1DDA">
        <w:rPr>
          <w:rFonts w:ascii="Calibri" w:hAnsi="Calibri" w:cs="Calibri"/>
        </w:rPr>
        <w:t>bank w postaci telefonów, e</w:t>
      </w:r>
      <w:r w:rsidR="00DE6B29">
        <w:rPr>
          <w:rFonts w:ascii="Calibri" w:hAnsi="Calibri" w:cs="Calibri"/>
        </w:rPr>
        <w:t>-</w:t>
      </w:r>
      <w:r w:rsidR="00AE1DDA">
        <w:rPr>
          <w:rFonts w:ascii="Calibri" w:hAnsi="Calibri" w:cs="Calibri"/>
        </w:rPr>
        <w:t>maili</w:t>
      </w:r>
      <w:r w:rsidR="006F6906" w:rsidRPr="00862883">
        <w:rPr>
          <w:rFonts w:ascii="Calibri" w:hAnsi="Calibri" w:cs="Calibri"/>
        </w:rPr>
        <w:t xml:space="preserve">, wiadomości </w:t>
      </w:r>
      <w:r w:rsidR="00DE6B29">
        <w:rPr>
          <w:rFonts w:ascii="Calibri" w:hAnsi="Calibri" w:cs="Calibri"/>
        </w:rPr>
        <w:t>SMS,</w:t>
      </w:r>
      <w:r w:rsidR="006F6906" w:rsidRPr="00862883">
        <w:rPr>
          <w:rFonts w:ascii="Calibri" w:hAnsi="Calibri" w:cs="Calibri"/>
        </w:rPr>
        <w:t xml:space="preserve"> czy wezwań do zapłaty może potęgować nasze obawy. </w:t>
      </w:r>
    </w:p>
    <w:p w14:paraId="7B1E221A" w14:textId="77777777" w:rsidR="004A3D27" w:rsidRPr="00862883" w:rsidRDefault="004A3D27" w:rsidP="007023DD">
      <w:pPr>
        <w:rPr>
          <w:rFonts w:ascii="Calibri" w:hAnsi="Calibri" w:cs="Calibri"/>
        </w:rPr>
      </w:pPr>
    </w:p>
    <w:p w14:paraId="0A3105BC" w14:textId="1CDE864F" w:rsidR="007023DD" w:rsidRPr="00862883" w:rsidRDefault="007023DD">
      <w:pPr>
        <w:rPr>
          <w:rFonts w:ascii="Calibri" w:hAnsi="Calibri" w:cs="Calibri"/>
          <w:b/>
          <w:bCs/>
        </w:rPr>
      </w:pPr>
      <w:r w:rsidRPr="00862883">
        <w:rPr>
          <w:rFonts w:ascii="Calibri" w:hAnsi="Calibri" w:cs="Calibri"/>
          <w:b/>
          <w:bCs/>
        </w:rPr>
        <w:t>Fakt jest</w:t>
      </w:r>
      <w:r w:rsidR="004A3D27" w:rsidRPr="00862883">
        <w:rPr>
          <w:rFonts w:ascii="Calibri" w:hAnsi="Calibri" w:cs="Calibri"/>
          <w:b/>
          <w:bCs/>
        </w:rPr>
        <w:t xml:space="preserve"> taki, że</w:t>
      </w:r>
      <w:r w:rsidRPr="00862883">
        <w:rPr>
          <w:rFonts w:ascii="Calibri" w:hAnsi="Calibri" w:cs="Calibri"/>
          <w:b/>
          <w:bCs/>
        </w:rPr>
        <w:t xml:space="preserve">: </w:t>
      </w:r>
    </w:p>
    <w:p w14:paraId="49CEA6E5" w14:textId="77777777" w:rsidR="00F65076" w:rsidRPr="00862883" w:rsidRDefault="00F65076" w:rsidP="006F6906">
      <w:pPr>
        <w:jc w:val="both"/>
        <w:rPr>
          <w:rFonts w:ascii="Calibri" w:hAnsi="Calibri" w:cs="Calibri"/>
        </w:rPr>
      </w:pPr>
    </w:p>
    <w:p w14:paraId="19609D43" w14:textId="7A73CE68" w:rsidR="00C76F75" w:rsidRPr="00862883" w:rsidRDefault="00DE6B29" w:rsidP="006F690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Ani b</w:t>
      </w:r>
      <w:r w:rsidR="006F6906" w:rsidRPr="00862883">
        <w:rPr>
          <w:rFonts w:ascii="Calibri" w:hAnsi="Calibri" w:cs="Calibri"/>
        </w:rPr>
        <w:t>ank</w:t>
      </w:r>
      <w:r>
        <w:rPr>
          <w:rFonts w:ascii="Calibri" w:hAnsi="Calibri" w:cs="Calibri"/>
        </w:rPr>
        <w:t>,</w:t>
      </w:r>
      <w:r w:rsidR="006F6906" w:rsidRPr="00862883">
        <w:rPr>
          <w:rFonts w:ascii="Calibri" w:hAnsi="Calibri" w:cs="Calibri"/>
        </w:rPr>
        <w:t xml:space="preserve"> ani osoby działające w jego imieniu, czyli np. </w:t>
      </w:r>
      <w:proofErr w:type="spellStart"/>
      <w:r w:rsidR="006F6906" w:rsidRPr="00862883">
        <w:rPr>
          <w:rFonts w:ascii="Calibri" w:hAnsi="Calibri" w:cs="Calibri"/>
        </w:rPr>
        <w:t>windykatorzy</w:t>
      </w:r>
      <w:proofErr w:type="spellEnd"/>
      <w:r w:rsidR="006F6906" w:rsidRPr="00862883">
        <w:rPr>
          <w:rFonts w:ascii="Calibri" w:hAnsi="Calibri" w:cs="Calibri"/>
        </w:rPr>
        <w:t>, nie maj</w:t>
      </w:r>
      <w:r w:rsidR="00FF7E57" w:rsidRPr="00862883">
        <w:rPr>
          <w:rFonts w:ascii="Calibri" w:hAnsi="Calibri" w:cs="Calibri"/>
        </w:rPr>
        <w:t>ą</w:t>
      </w:r>
      <w:r w:rsidR="006F6906" w:rsidRPr="00862883">
        <w:rPr>
          <w:rFonts w:ascii="Calibri" w:hAnsi="Calibri" w:cs="Calibri"/>
        </w:rPr>
        <w:t xml:space="preserve"> prawa zajmować naszych środków pieniężnych. Osob</w:t>
      </w:r>
      <w:r>
        <w:rPr>
          <w:rFonts w:ascii="Calibri" w:hAnsi="Calibri" w:cs="Calibri"/>
        </w:rPr>
        <w:t>ą uprawnioną do dokonywania zaję</w:t>
      </w:r>
      <w:r w:rsidR="006F6906" w:rsidRPr="00862883">
        <w:rPr>
          <w:rFonts w:ascii="Calibri" w:hAnsi="Calibri" w:cs="Calibri"/>
        </w:rPr>
        <w:t xml:space="preserve">ć rachunku bankowego jest w tym przypadku komornik, który działa w oparciu o tytuł wykonawczy, czyli prawomocny nakaz zapłaty lub wyrok opatrzony w klauzulę wykonalności. Co więcej, nawet działania komornika są w tym przypadku ograniczone ustawowo. </w:t>
      </w:r>
      <w:r w:rsidR="00C76F75" w:rsidRPr="00862883">
        <w:rPr>
          <w:rFonts w:ascii="Calibri" w:hAnsi="Calibri" w:cs="Calibri"/>
        </w:rPr>
        <w:t>Kwota wolna od zajęcia komorniczego jest ściśle powiązana z wysokością minimalnego wynagrodzenia za pracę. W 2024 roku</w:t>
      </w:r>
      <w:r w:rsidR="00311997" w:rsidRPr="00862883">
        <w:rPr>
          <w:rFonts w:ascii="Calibri" w:hAnsi="Calibri" w:cs="Calibri"/>
        </w:rPr>
        <w:t xml:space="preserve"> kwota ta </w:t>
      </w:r>
      <w:r>
        <w:rPr>
          <w:rFonts w:ascii="Calibri" w:hAnsi="Calibri" w:cs="Calibri"/>
        </w:rPr>
        <w:t>jest 2-krotnie</w:t>
      </w:r>
      <w:r w:rsidR="006F6906" w:rsidRPr="00862883">
        <w:rPr>
          <w:rFonts w:ascii="Calibri" w:hAnsi="Calibri" w:cs="Calibri"/>
        </w:rPr>
        <w:t xml:space="preserve"> aktualizowana. Od stycznia do k</w:t>
      </w:r>
      <w:r>
        <w:rPr>
          <w:rFonts w:ascii="Calibri" w:hAnsi="Calibri" w:cs="Calibri"/>
        </w:rPr>
        <w:t>ońca czerwca 2024 roku kwota wol</w:t>
      </w:r>
      <w:r w:rsidR="006F6906" w:rsidRPr="00862883">
        <w:rPr>
          <w:rFonts w:ascii="Calibri" w:hAnsi="Calibri" w:cs="Calibri"/>
        </w:rPr>
        <w:t xml:space="preserve">na od zajęcia wynosi 3.181,50 PLN, zaś od 1 lipca 3.225,00 PLN. </w:t>
      </w:r>
    </w:p>
    <w:p w14:paraId="5284F3A1" w14:textId="77777777" w:rsidR="00C76F75" w:rsidRPr="00862883" w:rsidRDefault="00C76F75">
      <w:pPr>
        <w:rPr>
          <w:rFonts w:ascii="Calibri" w:hAnsi="Calibri" w:cs="Calibri"/>
        </w:rPr>
      </w:pPr>
    </w:p>
    <w:p w14:paraId="006E543B" w14:textId="77777777" w:rsidR="007023DD" w:rsidRPr="00862883" w:rsidRDefault="007023DD">
      <w:pPr>
        <w:rPr>
          <w:rFonts w:ascii="Calibri" w:hAnsi="Calibri" w:cs="Calibri"/>
        </w:rPr>
      </w:pPr>
    </w:p>
    <w:p w14:paraId="17FB16A9" w14:textId="2E23532B" w:rsidR="007023DD" w:rsidRPr="00862883" w:rsidRDefault="007023DD">
      <w:pPr>
        <w:rPr>
          <w:rFonts w:ascii="Calibri" w:hAnsi="Calibri" w:cs="Calibri"/>
          <w:b/>
          <w:bCs/>
        </w:rPr>
      </w:pPr>
      <w:r w:rsidRPr="00862883">
        <w:rPr>
          <w:rFonts w:ascii="Calibri" w:hAnsi="Calibri" w:cs="Calibri"/>
          <w:b/>
          <w:bCs/>
        </w:rPr>
        <w:t xml:space="preserve">MIT 5 </w:t>
      </w:r>
      <w:r w:rsidR="00642E50" w:rsidRPr="00862883">
        <w:rPr>
          <w:rFonts w:ascii="Calibri" w:hAnsi="Calibri" w:cs="Calibri"/>
          <w:b/>
          <w:bCs/>
        </w:rPr>
        <w:t>–</w:t>
      </w:r>
      <w:r w:rsidR="004A3D27" w:rsidRPr="00862883">
        <w:rPr>
          <w:rFonts w:ascii="Calibri" w:hAnsi="Calibri" w:cs="Calibri"/>
          <w:b/>
          <w:bCs/>
        </w:rPr>
        <w:t xml:space="preserve"> </w:t>
      </w:r>
      <w:r w:rsidRPr="00862883">
        <w:rPr>
          <w:rFonts w:ascii="Calibri" w:hAnsi="Calibri" w:cs="Calibri"/>
          <w:b/>
          <w:bCs/>
        </w:rPr>
        <w:t xml:space="preserve">Z wierzycielem i komornikiem nie da </w:t>
      </w:r>
      <w:r w:rsidR="00F65076" w:rsidRPr="00862883">
        <w:rPr>
          <w:rFonts w:ascii="Calibri" w:hAnsi="Calibri" w:cs="Calibri"/>
          <w:b/>
          <w:bCs/>
        </w:rPr>
        <w:t>się dojść do porozumienia</w:t>
      </w:r>
      <w:r w:rsidRPr="00862883">
        <w:rPr>
          <w:rFonts w:ascii="Calibri" w:hAnsi="Calibri" w:cs="Calibri"/>
          <w:b/>
          <w:bCs/>
        </w:rPr>
        <w:t>?</w:t>
      </w:r>
    </w:p>
    <w:p w14:paraId="0161FCDA" w14:textId="77777777" w:rsidR="00876489" w:rsidRPr="00862883" w:rsidRDefault="00876489">
      <w:pPr>
        <w:rPr>
          <w:rFonts w:ascii="Calibri" w:hAnsi="Calibri" w:cs="Calibri"/>
        </w:rPr>
      </w:pPr>
    </w:p>
    <w:p w14:paraId="0A99DA44" w14:textId="7D24739A" w:rsidR="007023DD" w:rsidRPr="00862883" w:rsidRDefault="00642E50">
      <w:pPr>
        <w:rPr>
          <w:rFonts w:ascii="Calibri" w:hAnsi="Calibri" w:cs="Calibri"/>
        </w:rPr>
      </w:pPr>
      <w:r w:rsidRPr="00862883">
        <w:rPr>
          <w:rFonts w:ascii="Calibri" w:hAnsi="Calibri" w:cs="Calibri"/>
        </w:rPr>
        <w:t>Dłużnicy, z naturalnych przyczyn, wierzyciela i komornika traktują wrogo. W efekcie nie próbują nawet dojść do porozumienia, wychodząc z założenia, że ani wierzyciel</w:t>
      </w:r>
      <w:r w:rsidR="00DE6B29">
        <w:rPr>
          <w:rFonts w:ascii="Calibri" w:hAnsi="Calibri" w:cs="Calibri"/>
        </w:rPr>
        <w:t>,</w:t>
      </w:r>
      <w:r w:rsidRPr="00862883">
        <w:rPr>
          <w:rFonts w:ascii="Calibri" w:hAnsi="Calibri" w:cs="Calibri"/>
        </w:rPr>
        <w:t xml:space="preserve"> ani komornik nie są partnerami do rozmowy. </w:t>
      </w:r>
    </w:p>
    <w:p w14:paraId="09B045C2" w14:textId="77777777" w:rsidR="00642E50" w:rsidRPr="00862883" w:rsidRDefault="00642E50">
      <w:pPr>
        <w:rPr>
          <w:rFonts w:ascii="Calibri" w:hAnsi="Calibri" w:cs="Calibri"/>
        </w:rPr>
      </w:pPr>
    </w:p>
    <w:p w14:paraId="44F8BAD2" w14:textId="77777777" w:rsidR="00876489" w:rsidRPr="00862883" w:rsidRDefault="00876489" w:rsidP="00876489">
      <w:pPr>
        <w:rPr>
          <w:rFonts w:ascii="Calibri" w:hAnsi="Calibri" w:cs="Calibri"/>
          <w:b/>
          <w:bCs/>
        </w:rPr>
      </w:pPr>
      <w:r w:rsidRPr="00862883">
        <w:rPr>
          <w:rFonts w:ascii="Calibri" w:hAnsi="Calibri" w:cs="Calibri"/>
          <w:b/>
          <w:bCs/>
        </w:rPr>
        <w:t xml:space="preserve">Fakt jest taki, że: </w:t>
      </w:r>
    </w:p>
    <w:p w14:paraId="1D40408A" w14:textId="77777777" w:rsidR="00876489" w:rsidRPr="00862883" w:rsidRDefault="00876489" w:rsidP="00642E50">
      <w:pPr>
        <w:jc w:val="both"/>
        <w:rPr>
          <w:rFonts w:ascii="Calibri" w:hAnsi="Calibri" w:cs="Calibri"/>
        </w:rPr>
      </w:pPr>
    </w:p>
    <w:p w14:paraId="0B31E721" w14:textId="242508FE" w:rsidR="00642E50" w:rsidRPr="00862883" w:rsidRDefault="00642E50" w:rsidP="00642E50">
      <w:pPr>
        <w:jc w:val="both"/>
        <w:rPr>
          <w:rFonts w:ascii="Calibri" w:hAnsi="Calibri" w:cs="Calibri"/>
        </w:rPr>
      </w:pPr>
      <w:r w:rsidRPr="00862883">
        <w:rPr>
          <w:rFonts w:ascii="Calibri" w:hAnsi="Calibri" w:cs="Calibri"/>
        </w:rPr>
        <w:t xml:space="preserve">Zarówno wierzycielowi, jak i komornikowi, zależy na tym, aby wyegzekwować wierzytelność, chociażby częściowo. Te podmioty, w sytuacji inicjatywy dłużnika, często są zainteresowane </w:t>
      </w:r>
      <w:r w:rsidRPr="00862883">
        <w:rPr>
          <w:rFonts w:ascii="Calibri" w:hAnsi="Calibri" w:cs="Calibri"/>
        </w:rPr>
        <w:lastRenderedPageBreak/>
        <w:t>dojściem do porozumienia, nawet kosztem ustępstw na rzecz dłużnika. Zdarza się, że wierzyciel zgadza się rozłożyć płatności na raty, rezygnuje z części odsetek. Przykładowo, jeżeli dłużnikiem jest taksówkarz, który ma auto służące mu do zarabiania, to bardziej opłacalnym dla obu stron rozwiązan</w:t>
      </w:r>
      <w:r w:rsidR="00882FBE">
        <w:rPr>
          <w:rFonts w:ascii="Calibri" w:hAnsi="Calibri" w:cs="Calibri"/>
        </w:rPr>
        <w:t>iem jest ustalenie comiesięcznej</w:t>
      </w:r>
      <w:bookmarkStart w:id="0" w:name="_GoBack"/>
      <w:bookmarkEnd w:id="0"/>
      <w:r w:rsidRPr="00862883">
        <w:rPr>
          <w:rFonts w:ascii="Calibri" w:hAnsi="Calibri" w:cs="Calibri"/>
        </w:rPr>
        <w:t xml:space="preserve"> spłaty i zaniechanie licytacji samochodu. Dzięki temu dłużnik – taksówkarz może „odrobić” swój dług, bo ma narzędzie pracy. Na pewno zarówno z wierzycielem, jak i komornikiem, należy rozmawiać – oczywiście pod warunkiem, że nasz dług jest bezsporny i wyliczony we właściwej wysokości. </w:t>
      </w:r>
    </w:p>
    <w:p w14:paraId="11A2743B" w14:textId="77777777" w:rsidR="008E1C22" w:rsidRPr="00862883" w:rsidRDefault="008E1C22">
      <w:pPr>
        <w:rPr>
          <w:rFonts w:ascii="Calibri" w:hAnsi="Calibri" w:cs="Calibri"/>
        </w:rPr>
      </w:pPr>
    </w:p>
    <w:p w14:paraId="7FC9BE32" w14:textId="77777777" w:rsidR="00642E50" w:rsidRPr="00862883" w:rsidRDefault="00642E50">
      <w:pPr>
        <w:rPr>
          <w:rFonts w:ascii="Calibri" w:hAnsi="Calibri" w:cs="Calibri"/>
        </w:rPr>
      </w:pPr>
    </w:p>
    <w:p w14:paraId="2ACE191A" w14:textId="77777777" w:rsidR="007023DD" w:rsidRPr="00862883" w:rsidRDefault="007023DD">
      <w:pPr>
        <w:rPr>
          <w:rFonts w:ascii="Calibri" w:hAnsi="Calibri" w:cs="Calibri"/>
        </w:rPr>
      </w:pPr>
    </w:p>
    <w:p w14:paraId="779EDE99" w14:textId="77777777" w:rsidR="008E1C22" w:rsidRPr="00862883" w:rsidRDefault="008E1C22">
      <w:pPr>
        <w:rPr>
          <w:rFonts w:ascii="Calibri" w:hAnsi="Calibri" w:cs="Calibri"/>
        </w:rPr>
      </w:pPr>
    </w:p>
    <w:sectPr w:rsidR="008E1C22" w:rsidRPr="008628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8A685" w14:textId="77777777" w:rsidR="00990221" w:rsidRDefault="00990221" w:rsidP="00862883">
      <w:r>
        <w:separator/>
      </w:r>
    </w:p>
  </w:endnote>
  <w:endnote w:type="continuationSeparator" w:id="0">
    <w:p w14:paraId="2A0E2F92" w14:textId="77777777" w:rsidR="00990221" w:rsidRDefault="00990221" w:rsidP="008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0278F" w14:textId="2D8CF203" w:rsidR="00862883" w:rsidRPr="00862883" w:rsidRDefault="00862883" w:rsidP="00862883">
    <w:pPr>
      <w:pStyle w:val="Stopka"/>
      <w:jc w:val="center"/>
      <w:rPr>
        <w:rFonts w:ascii="Calibri" w:hAnsi="Calibri" w:cs="Calibri"/>
        <w:sz w:val="20"/>
        <w:szCs w:val="20"/>
      </w:rPr>
    </w:pPr>
    <w:r w:rsidRPr="00862883">
      <w:rPr>
        <w:rFonts w:ascii="Calibri" w:hAnsi="Calibri" w:cs="Calibri"/>
        <w:sz w:val="20"/>
        <w:szCs w:val="20"/>
      </w:rPr>
      <w:t xml:space="preserve">Kontakt dla mediów: Agencja Face It; Anna Wąsowska, tel.: </w:t>
    </w:r>
    <w:r w:rsidRPr="00862883">
      <w:rPr>
        <w:rFonts w:ascii="Calibri" w:eastAsiaTheme="minorEastAsia" w:hAnsi="Calibri" w:cs="Calibri"/>
        <w:noProof/>
        <w:sz w:val="20"/>
        <w:szCs w:val="20"/>
        <w:lang w:eastAsia="pl-PL"/>
      </w:rPr>
      <w:t>452 931 564</w:t>
    </w:r>
    <w:r w:rsidRPr="00862883">
      <w:rPr>
        <w:rFonts w:ascii="Calibri" w:hAnsi="Calibri" w:cs="Calibri"/>
        <w:sz w:val="20"/>
        <w:szCs w:val="20"/>
      </w:rPr>
      <w:t xml:space="preserve">, </w:t>
    </w:r>
    <w:r w:rsidRPr="00862883">
      <w:rPr>
        <w:rFonts w:ascii="Calibri" w:hAnsi="Calibri" w:cs="Calibri"/>
        <w:sz w:val="20"/>
        <w:szCs w:val="20"/>
      </w:rPr>
      <w:br/>
      <w:t>e-mail: a.wasowska@agencjafaceit.pl</w:t>
    </w:r>
  </w:p>
  <w:p w14:paraId="03E7A477" w14:textId="77777777" w:rsidR="00862883" w:rsidRDefault="008628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35987" w14:textId="77777777" w:rsidR="00990221" w:rsidRDefault="00990221" w:rsidP="00862883">
      <w:r>
        <w:separator/>
      </w:r>
    </w:p>
  </w:footnote>
  <w:footnote w:type="continuationSeparator" w:id="0">
    <w:p w14:paraId="2AE8506B" w14:textId="77777777" w:rsidR="00990221" w:rsidRDefault="00990221" w:rsidP="00862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71C65" w14:textId="5FBC0ACF" w:rsidR="00862883" w:rsidRDefault="00862883">
    <w:pPr>
      <w:pStyle w:val="Nagwek"/>
    </w:pPr>
    <w:r>
      <w:rPr>
        <w:b/>
        <w:bCs/>
        <w:noProof/>
        <w:u w:val="single"/>
        <w:lang w:eastAsia="pl-PL"/>
      </w:rPr>
      <w:drawing>
        <wp:anchor distT="0" distB="0" distL="114300" distR="114300" simplePos="0" relativeHeight="251659264" behindDoc="1" locked="0" layoutInCell="1" allowOverlap="1" wp14:anchorId="4BF783E3" wp14:editId="706DE029">
          <wp:simplePos x="0" y="0"/>
          <wp:positionH relativeFrom="column">
            <wp:posOffset>1652905</wp:posOffset>
          </wp:positionH>
          <wp:positionV relativeFrom="paragraph">
            <wp:posOffset>-259080</wp:posOffset>
          </wp:positionV>
          <wp:extent cx="2498090" cy="466725"/>
          <wp:effectExtent l="0" t="0" r="0" b="9525"/>
          <wp:wrapTight wrapText="bothSides">
            <wp:wrapPolygon edited="0">
              <wp:start x="0" y="0"/>
              <wp:lineTo x="0" y="21159"/>
              <wp:lineTo x="21413" y="21159"/>
              <wp:lineTo x="21413" y="0"/>
              <wp:lineTo x="0" y="0"/>
            </wp:wrapPolygon>
          </wp:wrapTight>
          <wp:docPr id="2" name="Obraz 2" descr="C:\Users\Anna Grubińska\Desktop\Karolina Pilawska\Pilawska Zorski Adwokac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na Grubińska\Desktop\Karolina Pilawska\Pilawska Zorski Adwokaci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09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22"/>
    <w:rsid w:val="000C36F0"/>
    <w:rsid w:val="000E0904"/>
    <w:rsid w:val="000F02D6"/>
    <w:rsid w:val="0023549C"/>
    <w:rsid w:val="0024072B"/>
    <w:rsid w:val="002F0C3F"/>
    <w:rsid w:val="00311997"/>
    <w:rsid w:val="00361556"/>
    <w:rsid w:val="0038781B"/>
    <w:rsid w:val="003A7465"/>
    <w:rsid w:val="003B2EC7"/>
    <w:rsid w:val="00457904"/>
    <w:rsid w:val="004A3D27"/>
    <w:rsid w:val="004F279F"/>
    <w:rsid w:val="00503CF7"/>
    <w:rsid w:val="00505372"/>
    <w:rsid w:val="005B0480"/>
    <w:rsid w:val="005C352C"/>
    <w:rsid w:val="00642E02"/>
    <w:rsid w:val="00642E50"/>
    <w:rsid w:val="006E13EF"/>
    <w:rsid w:val="006F6906"/>
    <w:rsid w:val="007023DD"/>
    <w:rsid w:val="00743D26"/>
    <w:rsid w:val="007513E5"/>
    <w:rsid w:val="00784CAB"/>
    <w:rsid w:val="00846ED9"/>
    <w:rsid w:val="00862883"/>
    <w:rsid w:val="00876489"/>
    <w:rsid w:val="00882FBE"/>
    <w:rsid w:val="008E1C22"/>
    <w:rsid w:val="00990221"/>
    <w:rsid w:val="00AE1DDA"/>
    <w:rsid w:val="00BE191A"/>
    <w:rsid w:val="00C76F75"/>
    <w:rsid w:val="00CF2DA7"/>
    <w:rsid w:val="00D11FBC"/>
    <w:rsid w:val="00DE6B29"/>
    <w:rsid w:val="00E424F2"/>
    <w:rsid w:val="00E75F77"/>
    <w:rsid w:val="00F65076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A1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E1C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1C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1C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1C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1C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1C2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1C2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1C2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E1C2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C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1C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1C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1C2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E1C2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1C2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E1C2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1C2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E1C2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E1C2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E1C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1C2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E1C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E1C2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E1C2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E1C2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E1C2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1C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1C2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E1C22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86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883"/>
  </w:style>
  <w:style w:type="paragraph" w:styleId="Stopka">
    <w:name w:val="footer"/>
    <w:basedOn w:val="Normalny"/>
    <w:link w:val="StopkaZnak"/>
    <w:uiPriority w:val="99"/>
    <w:unhideWhenUsed/>
    <w:rsid w:val="0086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883"/>
  </w:style>
  <w:style w:type="paragraph" w:styleId="Tekstdymka">
    <w:name w:val="Balloon Text"/>
    <w:basedOn w:val="Normalny"/>
    <w:link w:val="TekstdymkaZnak"/>
    <w:uiPriority w:val="99"/>
    <w:semiHidden/>
    <w:unhideWhenUsed/>
    <w:rsid w:val="00862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E1C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1C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1C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1C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1C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1C2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1C2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1C2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E1C2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C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1C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1C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1C2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E1C2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1C2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E1C2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1C2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E1C2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E1C2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E1C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1C2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E1C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E1C2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E1C2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E1C2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E1C2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1C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1C2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E1C22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86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883"/>
  </w:style>
  <w:style w:type="paragraph" w:styleId="Stopka">
    <w:name w:val="footer"/>
    <w:basedOn w:val="Normalny"/>
    <w:link w:val="StopkaZnak"/>
    <w:uiPriority w:val="99"/>
    <w:unhideWhenUsed/>
    <w:rsid w:val="0086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883"/>
  </w:style>
  <w:style w:type="paragraph" w:styleId="Tekstdymka">
    <w:name w:val="Balloon Text"/>
    <w:basedOn w:val="Normalny"/>
    <w:link w:val="TekstdymkaZnak"/>
    <w:uiPriority w:val="99"/>
    <w:semiHidden/>
    <w:unhideWhenUsed/>
    <w:rsid w:val="00862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1223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Pilawska | PZ Adwokaci</dc:creator>
  <cp:lastModifiedBy>Wiktoria Romańska</cp:lastModifiedBy>
  <cp:revision>3</cp:revision>
  <dcterms:created xsi:type="dcterms:W3CDTF">2024-06-11T08:38:00Z</dcterms:created>
  <dcterms:modified xsi:type="dcterms:W3CDTF">2024-06-11T09:08:00Z</dcterms:modified>
</cp:coreProperties>
</file>